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EC4" w:rsidRDefault="002F3EC4" w:rsidP="002F3EC4">
      <w:pPr>
        <w:ind w:left="2977" w:hanging="2977"/>
        <w:rPr>
          <w:rFonts w:ascii="Angsana New" w:hAnsi="Angsana New"/>
          <w:sz w:val="32"/>
          <w:szCs w:val="32"/>
        </w:rPr>
      </w:pPr>
      <w:bookmarkStart w:id="0" w:name="_GoBack"/>
      <w:bookmarkEnd w:id="0"/>
      <w:r w:rsidRPr="00450FA1">
        <w:rPr>
          <w:rFonts w:ascii="Angsana New" w:hAnsi="Angsana New" w:hint="cs"/>
          <w:b/>
          <w:bCs/>
          <w:sz w:val="32"/>
          <w:szCs w:val="32"/>
          <w:cs/>
        </w:rPr>
        <w:t>หัวข้อการค้นคว้าแบบอิสระ</w:t>
      </w:r>
      <w:r>
        <w:rPr>
          <w:rFonts w:ascii="Angsana New" w:hAnsi="Angsana New" w:hint="cs"/>
          <w:sz w:val="32"/>
          <w:szCs w:val="32"/>
          <w:cs/>
        </w:rPr>
        <w:tab/>
      </w:r>
      <w:r w:rsidRPr="00450FA1">
        <w:rPr>
          <w:rFonts w:ascii="Angsana New" w:hAnsi="Angsana New"/>
          <w:sz w:val="32"/>
          <w:szCs w:val="32"/>
          <w:cs/>
        </w:rPr>
        <w:t>การวิเคราะห์อัตราผลตอบแทนและความเสี่ยงของกองทุนรวมตราสารแห่งทุนที่บริหารจัดการโดยบริษัท  หลักทรัพย์จัดการกองทุน ยูโอบี (ประเทศไทย)</w:t>
      </w:r>
      <w:r w:rsidRPr="00450FA1">
        <w:rPr>
          <w:rFonts w:ascii="Angsana New" w:hAnsi="Angsana New"/>
          <w:sz w:val="32"/>
          <w:szCs w:val="32"/>
        </w:rPr>
        <w:t xml:space="preserve"> </w:t>
      </w:r>
      <w:r w:rsidRPr="00450FA1">
        <w:rPr>
          <w:rFonts w:ascii="Angsana New" w:hAnsi="Angsana New"/>
          <w:sz w:val="32"/>
          <w:szCs w:val="32"/>
          <w:cs/>
        </w:rPr>
        <w:t>จำกัด</w:t>
      </w:r>
    </w:p>
    <w:p w:rsidR="002F3EC4" w:rsidRDefault="002F3EC4" w:rsidP="002F3EC4">
      <w:pPr>
        <w:ind w:left="2977" w:hanging="2977"/>
        <w:rPr>
          <w:rFonts w:ascii="Angsana New" w:hAnsi="Angsana New"/>
          <w:sz w:val="32"/>
          <w:szCs w:val="32"/>
        </w:rPr>
      </w:pPr>
    </w:p>
    <w:p w:rsidR="002F3EC4" w:rsidRDefault="002F3EC4" w:rsidP="002F3EC4">
      <w:pPr>
        <w:ind w:left="2977" w:hanging="2977"/>
        <w:rPr>
          <w:rFonts w:ascii="Angsana New" w:hAnsi="Angsana New"/>
          <w:sz w:val="32"/>
          <w:szCs w:val="32"/>
        </w:rPr>
      </w:pPr>
      <w:r w:rsidRPr="00450FA1">
        <w:rPr>
          <w:rFonts w:ascii="Angsana New" w:hAnsi="Angsana New" w:hint="cs"/>
          <w:b/>
          <w:bCs/>
          <w:sz w:val="32"/>
          <w:szCs w:val="32"/>
          <w:cs/>
        </w:rPr>
        <w:t>ผู้เขียน</w:t>
      </w:r>
      <w:r>
        <w:rPr>
          <w:rFonts w:ascii="Angsana New" w:hAnsi="Angsana New" w:hint="cs"/>
          <w:sz w:val="32"/>
          <w:szCs w:val="32"/>
          <w:cs/>
        </w:rPr>
        <w:tab/>
        <w:t>นางสาวกัญญา นภสินธุ์</w:t>
      </w:r>
    </w:p>
    <w:p w:rsidR="002F3EC4" w:rsidRDefault="002F3EC4" w:rsidP="002F3EC4">
      <w:pPr>
        <w:ind w:left="2977" w:hanging="2977"/>
        <w:rPr>
          <w:rFonts w:ascii="Angsana New" w:hAnsi="Angsana New"/>
          <w:sz w:val="32"/>
          <w:szCs w:val="32"/>
        </w:rPr>
      </w:pPr>
    </w:p>
    <w:p w:rsidR="002F3EC4" w:rsidRDefault="002F3EC4" w:rsidP="002F3EC4">
      <w:pPr>
        <w:ind w:left="2977" w:hanging="2977"/>
        <w:rPr>
          <w:rFonts w:ascii="Angsana New" w:hAnsi="Angsana New"/>
          <w:sz w:val="32"/>
          <w:szCs w:val="32"/>
        </w:rPr>
      </w:pPr>
      <w:r w:rsidRPr="00450FA1">
        <w:rPr>
          <w:rFonts w:ascii="Angsana New" w:hAnsi="Angsana New" w:hint="cs"/>
          <w:b/>
          <w:bCs/>
          <w:sz w:val="32"/>
          <w:szCs w:val="32"/>
          <w:cs/>
        </w:rPr>
        <w:t>ปริญญา</w:t>
      </w:r>
      <w:r>
        <w:rPr>
          <w:rFonts w:ascii="Angsana New" w:hAnsi="Angsana New" w:hint="cs"/>
          <w:sz w:val="32"/>
          <w:szCs w:val="32"/>
          <w:cs/>
        </w:rPr>
        <w:tab/>
        <w:t>เศรษฐศาสตรมหาบัณฑิต</w:t>
      </w:r>
    </w:p>
    <w:p w:rsidR="002F3EC4" w:rsidRDefault="002F3EC4" w:rsidP="002F3EC4">
      <w:pPr>
        <w:ind w:left="2977" w:hanging="2977"/>
        <w:rPr>
          <w:rFonts w:ascii="Angsana New" w:hAnsi="Angsana New"/>
          <w:sz w:val="32"/>
          <w:szCs w:val="32"/>
        </w:rPr>
      </w:pPr>
    </w:p>
    <w:p w:rsidR="002F3EC4" w:rsidRDefault="002F3EC4" w:rsidP="002F3EC4">
      <w:pPr>
        <w:ind w:left="2977" w:hanging="2977"/>
        <w:rPr>
          <w:rFonts w:ascii="Angsana New" w:hAnsi="Angsana New"/>
          <w:sz w:val="32"/>
          <w:szCs w:val="32"/>
        </w:rPr>
      </w:pPr>
      <w:r w:rsidRPr="00450FA1">
        <w:rPr>
          <w:rFonts w:ascii="Angsana New" w:hAnsi="Angsana New" w:hint="cs"/>
          <w:b/>
          <w:bCs/>
          <w:sz w:val="32"/>
          <w:szCs w:val="32"/>
          <w:cs/>
        </w:rPr>
        <w:t>คณะกรรมการที่ปรึกษา</w:t>
      </w:r>
      <w:r>
        <w:rPr>
          <w:rFonts w:ascii="Angsana New" w:hAnsi="Angsana New" w:hint="cs"/>
          <w:sz w:val="32"/>
          <w:szCs w:val="32"/>
          <w:cs/>
        </w:rPr>
        <w:tab/>
        <w:t>ผศ.ดร.ชูเกียรติ ชัยบุญศรี</w:t>
      </w:r>
      <w:r>
        <w:rPr>
          <w:rFonts w:ascii="Angsana New" w:hAnsi="Angsana New" w:hint="cs"/>
          <w:sz w:val="32"/>
          <w:szCs w:val="32"/>
          <w:cs/>
        </w:rPr>
        <w:tab/>
        <w:t>อาจารย์ที่ปรึกษาหลัก</w:t>
      </w:r>
    </w:p>
    <w:p w:rsidR="002F3EC4" w:rsidRDefault="002F3EC4" w:rsidP="002F3EC4">
      <w:pPr>
        <w:ind w:left="2977" w:hanging="2977"/>
        <w:rPr>
          <w:rFonts w:ascii="Angsana New" w:hAnsi="Angsana New"/>
          <w:sz w:val="32"/>
          <w:szCs w:val="32"/>
        </w:rPr>
      </w:pPr>
      <w:r>
        <w:rPr>
          <w:rFonts w:ascii="Angsana New" w:hAnsi="Angsana New" w:hint="cs"/>
          <w:sz w:val="32"/>
          <w:szCs w:val="32"/>
          <w:cs/>
        </w:rPr>
        <w:tab/>
        <w:t>รศ.ดร.ประเสริฐ ไชยทิพย์</w:t>
      </w:r>
      <w:r>
        <w:rPr>
          <w:rFonts w:ascii="Angsana New" w:hAnsi="Angsana New" w:hint="cs"/>
          <w:sz w:val="32"/>
          <w:szCs w:val="32"/>
          <w:cs/>
        </w:rPr>
        <w:tab/>
        <w:t>อาจารย์ที่ปรึกษาร่วม</w:t>
      </w:r>
    </w:p>
    <w:p w:rsidR="002F3EC4" w:rsidRDefault="002F3EC4" w:rsidP="002F3EC4">
      <w:pPr>
        <w:ind w:left="2977" w:hanging="2977"/>
        <w:rPr>
          <w:rFonts w:ascii="Angsana New" w:hAnsi="Angsana New"/>
          <w:b/>
          <w:bCs/>
          <w:sz w:val="40"/>
          <w:szCs w:val="40"/>
        </w:rPr>
      </w:pPr>
    </w:p>
    <w:p w:rsidR="002F3EC4" w:rsidRDefault="002F3EC4" w:rsidP="002F3EC4">
      <w:pPr>
        <w:ind w:left="2977" w:hanging="2977"/>
        <w:jc w:val="center"/>
        <w:rPr>
          <w:rFonts w:ascii="Angsana New" w:hAnsi="Angsana New"/>
          <w:b/>
          <w:bCs/>
          <w:sz w:val="40"/>
          <w:szCs w:val="40"/>
        </w:rPr>
      </w:pPr>
      <w:r w:rsidRPr="00450FA1">
        <w:rPr>
          <w:rFonts w:ascii="Angsana New" w:hAnsi="Angsana New" w:hint="cs"/>
          <w:b/>
          <w:bCs/>
          <w:sz w:val="40"/>
          <w:szCs w:val="40"/>
          <w:cs/>
        </w:rPr>
        <w:t>บทคัดย่อ</w:t>
      </w:r>
    </w:p>
    <w:p w:rsidR="002F3EC4" w:rsidRPr="00450FA1" w:rsidRDefault="002F3EC4" w:rsidP="002F3EC4">
      <w:pPr>
        <w:ind w:left="2977" w:hanging="2977"/>
        <w:rPr>
          <w:rFonts w:ascii="Angsana New" w:hAnsi="Angsana New"/>
          <w:b/>
          <w:bCs/>
          <w:sz w:val="40"/>
          <w:szCs w:val="40"/>
        </w:rPr>
      </w:pPr>
    </w:p>
    <w:p w:rsidR="007E7674" w:rsidRDefault="007E7674" w:rsidP="007E7674">
      <w:pPr>
        <w:spacing w:after="240"/>
        <w:ind w:firstLine="720"/>
        <w:jc w:val="thaiDistribute"/>
        <w:rPr>
          <w:rFonts w:ascii="Angsana New" w:eastAsia="Calibri" w:hAnsi="Angsana New"/>
          <w:sz w:val="32"/>
          <w:szCs w:val="32"/>
          <w:lang w:eastAsia="en-US"/>
        </w:rPr>
      </w:pPr>
      <w:r>
        <w:rPr>
          <w:rFonts w:ascii="Angsana New" w:eastAsia="Calibri" w:hAnsi="Angsana New"/>
          <w:sz w:val="32"/>
          <w:szCs w:val="32"/>
          <w:cs/>
          <w:lang w:eastAsia="en-US"/>
        </w:rPr>
        <w:t>ในการศึกษาครั้งนี้ มีวัตถุประสงค์เพื่อ</w:t>
      </w:r>
      <w:r>
        <w:rPr>
          <w:rFonts w:ascii="Angsana New" w:hAnsi="Angsana New"/>
          <w:sz w:val="32"/>
          <w:szCs w:val="32"/>
          <w:cs/>
        </w:rPr>
        <w:t xml:space="preserve">วิเคราะห์ถึงอัตราผลตอบแทนที่ได้รับของแต่ละกองทุนรวมตราสารแห่งทุน ที่บริหารจัดการโดยบริษัทหลักทรัพย์จัดการกองทุน ยูโอบี (ประเทศไทย) จำกัด จำนวน 11 กองทุนรวมประกอบไปด้วย </w:t>
      </w:r>
      <w:r>
        <w:rPr>
          <w:rFonts w:ascii="Angsana New" w:eastAsia="Calibri" w:hAnsi="Angsana New"/>
          <w:sz w:val="32"/>
          <w:szCs w:val="32"/>
          <w:cs/>
          <w:lang w:eastAsia="en-US"/>
        </w:rPr>
        <w:t xml:space="preserve">กองทุนเปิด กำไรเพิ่มพูน </w:t>
      </w:r>
      <w:r>
        <w:rPr>
          <w:rFonts w:ascii="Angsana New" w:eastAsia="Calibri" w:hAnsi="Angsana New"/>
          <w:sz w:val="32"/>
          <w:szCs w:val="32"/>
          <w:lang w:eastAsia="en-US"/>
        </w:rPr>
        <w:t xml:space="preserve">(KPLUS, </w:t>
      </w:r>
      <w:r>
        <w:rPr>
          <w:rFonts w:ascii="Angsana New" w:eastAsia="Calibri" w:hAnsi="Angsana New" w:hint="cs"/>
          <w:sz w:val="32"/>
          <w:szCs w:val="32"/>
          <w:cs/>
          <w:lang w:eastAsia="en-US"/>
        </w:rPr>
        <w:t xml:space="preserve">กองทุนเปิด กำไรเพิ่มพูน2 </w:t>
      </w:r>
      <w:r>
        <w:rPr>
          <w:rFonts w:ascii="Angsana New" w:eastAsia="Calibri" w:hAnsi="Angsana New"/>
          <w:sz w:val="32"/>
          <w:szCs w:val="32"/>
          <w:lang w:eastAsia="en-US"/>
        </w:rPr>
        <w:t xml:space="preserve">(KPLUS2), </w:t>
      </w:r>
      <w:r>
        <w:rPr>
          <w:rFonts w:ascii="Angsana New" w:eastAsia="Calibri" w:hAnsi="Angsana New" w:hint="cs"/>
          <w:sz w:val="32"/>
          <w:szCs w:val="32"/>
          <w:cs/>
          <w:lang w:eastAsia="en-US"/>
        </w:rPr>
        <w:t>กองทุนเปิด ไทยดรากอน</w:t>
      </w:r>
      <w:r>
        <w:rPr>
          <w:rFonts w:ascii="Angsana New" w:eastAsia="Calibri" w:hAnsi="Angsana New"/>
          <w:sz w:val="32"/>
          <w:szCs w:val="32"/>
          <w:lang w:eastAsia="en-US"/>
        </w:rPr>
        <w:t xml:space="preserve"> (TDF), </w:t>
      </w:r>
      <w:r>
        <w:rPr>
          <w:rFonts w:ascii="Angsana New" w:eastAsia="Calibri" w:hAnsi="Angsana New" w:hint="cs"/>
          <w:sz w:val="32"/>
          <w:szCs w:val="32"/>
          <w:cs/>
          <w:lang w:eastAsia="en-US"/>
        </w:rPr>
        <w:t xml:space="preserve">กองทุนเปิด เกียรตินาคิน </w:t>
      </w:r>
      <w:r>
        <w:rPr>
          <w:rFonts w:ascii="Angsana New" w:eastAsia="Calibri" w:hAnsi="Angsana New"/>
          <w:sz w:val="32"/>
          <w:szCs w:val="32"/>
          <w:lang w:eastAsia="en-US"/>
        </w:rPr>
        <w:t xml:space="preserve">(KKF), </w:t>
      </w:r>
      <w:r>
        <w:rPr>
          <w:rFonts w:ascii="Angsana New" w:eastAsia="Calibri" w:hAnsi="Angsana New" w:hint="cs"/>
          <w:sz w:val="32"/>
          <w:szCs w:val="32"/>
          <w:cs/>
          <w:lang w:eastAsia="en-US"/>
        </w:rPr>
        <w:t xml:space="preserve">กองทุนเปิด ไทยอิควิตี้ฟันด์ </w:t>
      </w:r>
      <w:r>
        <w:rPr>
          <w:rFonts w:ascii="Angsana New" w:eastAsia="Calibri" w:hAnsi="Angsana New"/>
          <w:sz w:val="32"/>
          <w:szCs w:val="32"/>
          <w:lang w:eastAsia="en-US"/>
        </w:rPr>
        <w:t xml:space="preserve">(TEF), </w:t>
      </w:r>
      <w:r>
        <w:rPr>
          <w:rFonts w:ascii="Angsana New" w:eastAsia="Calibri" w:hAnsi="Angsana New" w:hint="cs"/>
          <w:sz w:val="32"/>
          <w:szCs w:val="32"/>
          <w:cs/>
          <w:lang w:eastAsia="en-US"/>
        </w:rPr>
        <w:t>กองทุนเปิด ไทยอิควิตี้ฟันด์</w:t>
      </w:r>
      <w:r>
        <w:rPr>
          <w:rFonts w:ascii="Angsana New" w:eastAsia="Calibri" w:hAnsi="Angsana New"/>
          <w:sz w:val="32"/>
          <w:szCs w:val="32"/>
          <w:lang w:eastAsia="en-US"/>
        </w:rPr>
        <w:t>–</w:t>
      </w:r>
      <w:r>
        <w:rPr>
          <w:rFonts w:ascii="Angsana New" w:eastAsia="Calibri" w:hAnsi="Angsana New" w:hint="cs"/>
          <w:sz w:val="32"/>
          <w:szCs w:val="32"/>
          <w:cs/>
          <w:lang w:eastAsia="en-US"/>
        </w:rPr>
        <w:t xml:space="preserve">ปันผล </w:t>
      </w:r>
      <w:r>
        <w:rPr>
          <w:rFonts w:ascii="Angsana New" w:eastAsia="Calibri" w:hAnsi="Angsana New"/>
          <w:sz w:val="32"/>
          <w:szCs w:val="32"/>
          <w:lang w:eastAsia="en-US"/>
        </w:rPr>
        <w:t xml:space="preserve">(TEF-DIV), </w:t>
      </w:r>
      <w:r>
        <w:rPr>
          <w:rFonts w:ascii="Angsana New" w:eastAsia="Calibri" w:hAnsi="Angsana New" w:hint="cs"/>
          <w:sz w:val="32"/>
          <w:szCs w:val="32"/>
          <w:cs/>
          <w:lang w:eastAsia="en-US"/>
        </w:rPr>
        <w:t xml:space="preserve">กองทุนเปิด ยูโอบี สมาร์ทแอคทีฟเซต100 </w:t>
      </w:r>
      <w:r>
        <w:rPr>
          <w:rFonts w:ascii="Angsana New" w:eastAsia="Calibri" w:hAnsi="Angsana New"/>
          <w:sz w:val="32"/>
          <w:szCs w:val="32"/>
          <w:lang w:eastAsia="en-US"/>
        </w:rPr>
        <w:t xml:space="preserve">(UOBSAS100), </w:t>
      </w:r>
      <w:r>
        <w:rPr>
          <w:rFonts w:ascii="Angsana New" w:eastAsia="Calibri" w:hAnsi="Angsana New" w:hint="cs"/>
          <w:sz w:val="32"/>
          <w:szCs w:val="32"/>
          <w:cs/>
          <w:lang w:eastAsia="en-US"/>
        </w:rPr>
        <w:t xml:space="preserve">กองทุนเปิด ยูโอบี สมาร์ทแอคทีฟเซต100 ดิวิเดนท์ </w:t>
      </w:r>
      <w:r>
        <w:rPr>
          <w:rFonts w:ascii="Angsana New" w:eastAsia="Calibri" w:hAnsi="Angsana New"/>
          <w:sz w:val="32"/>
          <w:szCs w:val="32"/>
          <w:lang w:eastAsia="en-US"/>
        </w:rPr>
        <w:t xml:space="preserve">(UOBSAS100D), </w:t>
      </w:r>
      <w:r>
        <w:rPr>
          <w:rFonts w:ascii="Angsana New" w:eastAsia="Calibri" w:hAnsi="Angsana New" w:hint="cs"/>
          <w:sz w:val="32"/>
          <w:szCs w:val="32"/>
          <w:cs/>
          <w:lang w:eastAsia="en-US"/>
        </w:rPr>
        <w:t xml:space="preserve">กองทุนเปิด ยูโอบี สมาร์ทดิวิเดนด์-โฟกัส อิควิตี้ฟันด์ </w:t>
      </w:r>
      <w:r>
        <w:rPr>
          <w:rFonts w:ascii="Angsana New" w:eastAsia="Calibri" w:hAnsi="Angsana New"/>
          <w:sz w:val="32"/>
          <w:szCs w:val="32"/>
          <w:lang w:eastAsia="en-US"/>
        </w:rPr>
        <w:t xml:space="preserve">(UOBSDF), </w:t>
      </w:r>
      <w:r>
        <w:rPr>
          <w:rFonts w:ascii="Angsana New" w:eastAsia="Calibri" w:hAnsi="Angsana New" w:hint="cs"/>
          <w:sz w:val="32"/>
          <w:szCs w:val="32"/>
          <w:cs/>
          <w:lang w:eastAsia="en-US"/>
        </w:rPr>
        <w:t>กองทุนเปิด ยูโอบี สมาร์ทเซ็ท50</w:t>
      </w:r>
      <w:r>
        <w:rPr>
          <w:rFonts w:ascii="Angsana New" w:eastAsia="Calibri" w:hAnsi="Angsana New"/>
          <w:sz w:val="32"/>
          <w:szCs w:val="32"/>
          <w:lang w:eastAsia="en-US"/>
        </w:rPr>
        <w:t xml:space="preserve"> (UOBSET50)</w:t>
      </w:r>
      <w:r>
        <w:rPr>
          <w:rFonts w:ascii="Angsana New" w:eastAsia="Calibri" w:hAnsi="Angsana New" w:hint="cs"/>
          <w:sz w:val="32"/>
          <w:szCs w:val="32"/>
          <w:cs/>
          <w:lang w:eastAsia="en-US"/>
        </w:rPr>
        <w:t>และกองทุนเปิด ไทยแวลูโฟกัส อิควิตี้</w:t>
      </w:r>
      <w:r>
        <w:rPr>
          <w:rFonts w:ascii="Angsana New" w:eastAsia="Calibri" w:hAnsi="Angsana New"/>
          <w:sz w:val="32"/>
          <w:szCs w:val="32"/>
          <w:lang w:eastAsia="en-US"/>
        </w:rPr>
        <w:t>–</w:t>
      </w:r>
      <w:r>
        <w:rPr>
          <w:rFonts w:ascii="Angsana New" w:eastAsia="Calibri" w:hAnsi="Angsana New" w:hint="cs"/>
          <w:sz w:val="32"/>
          <w:szCs w:val="32"/>
          <w:cs/>
          <w:lang w:eastAsia="en-US"/>
        </w:rPr>
        <w:t xml:space="preserve">ปันผล </w:t>
      </w:r>
      <w:r>
        <w:rPr>
          <w:rFonts w:ascii="Angsana New" w:eastAsia="Calibri" w:hAnsi="Angsana New"/>
          <w:sz w:val="32"/>
          <w:szCs w:val="32"/>
          <w:lang w:eastAsia="en-US"/>
        </w:rPr>
        <w:t>(VFOCUS-D)</w:t>
      </w:r>
      <w:r>
        <w:rPr>
          <w:rFonts w:ascii="Angsana New" w:hAnsi="Angsana New"/>
          <w:sz w:val="32"/>
          <w:szCs w:val="32"/>
        </w:rPr>
        <w:t xml:space="preserve"> </w:t>
      </w:r>
      <w:r>
        <w:rPr>
          <w:rFonts w:ascii="Angsana New" w:hAnsi="Angsana New" w:hint="cs"/>
          <w:sz w:val="32"/>
          <w:szCs w:val="32"/>
          <w:cs/>
        </w:rPr>
        <w:t xml:space="preserve">เปรียบเทียบกับกองทุนรวมตราสารแห่งทุนที่บริหารจัดการโดยบริษัทหลักทรัพย์จัดการ ยูโอบี (สิงคโปร์) จำกัด จำนวน 1 กองทุน คือ </w:t>
      </w:r>
      <w:r>
        <w:rPr>
          <w:rFonts w:ascii="Angsana New" w:eastAsia="Calibri" w:hAnsi="Angsana New"/>
          <w:sz w:val="32"/>
          <w:szCs w:val="32"/>
          <w:cs/>
          <w:lang w:eastAsia="en-US"/>
        </w:rPr>
        <w:t xml:space="preserve">กองทุนเปิด </w:t>
      </w:r>
      <w:r>
        <w:rPr>
          <w:rFonts w:ascii="Angsana New" w:eastAsia="Calibri" w:hAnsi="Angsana New"/>
          <w:sz w:val="32"/>
          <w:szCs w:val="32"/>
          <w:lang w:eastAsia="en-US"/>
        </w:rPr>
        <w:t>United Singapore Growth Fund (UOBUGFI)</w:t>
      </w:r>
      <w:r>
        <w:rPr>
          <w:rFonts w:ascii="Angsana New" w:hAnsi="Angsana New"/>
          <w:sz w:val="32"/>
          <w:szCs w:val="32"/>
          <w:cs/>
        </w:rPr>
        <w:t xml:space="preserve"> ด้วยวิธีการวิเคราะห์จากแบบจำลองสโทคาสติก ดอมิแนนซ์ (</w:t>
      </w:r>
      <w:r>
        <w:rPr>
          <w:rFonts w:ascii="Angsana New" w:eastAsia="CordiaNew" w:hAnsi="Angsana New"/>
          <w:sz w:val="32"/>
          <w:szCs w:val="32"/>
          <w:lang w:eastAsia="en-US"/>
        </w:rPr>
        <w:t>Stochastic Dominance</w:t>
      </w:r>
      <w:r>
        <w:rPr>
          <w:rFonts w:ascii="Angsana New" w:eastAsia="CordiaNew" w:hAnsi="Angsana New" w:hint="cs"/>
          <w:sz w:val="32"/>
          <w:szCs w:val="32"/>
          <w:cs/>
          <w:lang w:eastAsia="en-US"/>
        </w:rPr>
        <w:t xml:space="preserve"> </w:t>
      </w:r>
      <w:r>
        <w:rPr>
          <w:rFonts w:ascii="Angsana New" w:eastAsia="CordiaNew" w:hAnsi="Angsana New"/>
          <w:sz w:val="32"/>
          <w:szCs w:val="32"/>
          <w:lang w:eastAsia="en-US"/>
        </w:rPr>
        <w:t xml:space="preserve">Model) </w:t>
      </w:r>
      <w:r>
        <w:rPr>
          <w:rFonts w:ascii="Angsana New" w:hAnsi="Angsana New"/>
          <w:sz w:val="32"/>
          <w:szCs w:val="32"/>
          <w:cs/>
        </w:rPr>
        <w:t xml:space="preserve">เพื่อเป็นแนวทางในการตัดสินใจเลือกลงทุนของนักลงทุน โดยใช้ข้อมูลอัตราผลตอบแทนของมูลค่าทรัพย์สินสุทธิ </w:t>
      </w:r>
      <w:r>
        <w:rPr>
          <w:rFonts w:ascii="Angsana New" w:hAnsi="Angsana New"/>
          <w:sz w:val="32"/>
          <w:szCs w:val="32"/>
        </w:rPr>
        <w:t xml:space="preserve">(NAV) </w:t>
      </w:r>
      <w:r>
        <w:rPr>
          <w:rFonts w:ascii="Angsana New" w:hAnsi="Angsana New" w:hint="cs"/>
          <w:sz w:val="32"/>
          <w:szCs w:val="32"/>
          <w:cs/>
        </w:rPr>
        <w:t>ที่เป็นข้อมูล</w:t>
      </w:r>
      <w:r>
        <w:rPr>
          <w:rFonts w:ascii="Angsana New" w:eastAsia="Calibri" w:hAnsi="Angsana New"/>
          <w:sz w:val="32"/>
          <w:szCs w:val="32"/>
          <w:cs/>
          <w:lang w:eastAsia="en-US"/>
        </w:rPr>
        <w:t>อนุกรมเวลาแบบทุติยภูมิ รายวัน นับตั้งแต่วันที่ 7 กันยายน 2555 จนถึง 31 มีนาคม 2558 จำนวน 628 ค่าสังเกต</w:t>
      </w:r>
    </w:p>
    <w:p w:rsidR="007E7674" w:rsidRDefault="007E7674" w:rsidP="007E7674">
      <w:pPr>
        <w:spacing w:after="240"/>
        <w:ind w:firstLine="720"/>
        <w:jc w:val="thaiDistribute"/>
        <w:rPr>
          <w:rFonts w:ascii="Angsana New" w:hAnsi="Angsana New"/>
          <w:sz w:val="32"/>
          <w:szCs w:val="32"/>
          <w:cs/>
        </w:rPr>
        <w:sectPr w:rsidR="007E7674" w:rsidSect="00956148">
          <w:headerReference w:type="even" r:id="rId7"/>
          <w:headerReference w:type="default" r:id="rId8"/>
          <w:footerReference w:type="even" r:id="rId9"/>
          <w:footerReference w:type="default" r:id="rId10"/>
          <w:headerReference w:type="first" r:id="rId11"/>
          <w:footerReference w:type="first" r:id="rId12"/>
          <w:pgSz w:w="11906" w:h="16838"/>
          <w:pgMar w:top="1985" w:right="1418" w:bottom="1701" w:left="1985" w:header="709" w:footer="964" w:gutter="0"/>
          <w:pgNumType w:fmt="thaiLetters" w:start="4"/>
          <w:cols w:space="708"/>
          <w:docGrid w:linePitch="360"/>
        </w:sectPr>
      </w:pPr>
    </w:p>
    <w:p w:rsidR="007E7674" w:rsidRDefault="007E7674" w:rsidP="007E7674">
      <w:pPr>
        <w:spacing w:after="240"/>
        <w:ind w:firstLine="720"/>
        <w:jc w:val="thaiDistribute"/>
        <w:rPr>
          <w:rFonts w:ascii="Angsana New" w:hAnsi="Angsana New"/>
          <w:sz w:val="32"/>
          <w:szCs w:val="32"/>
        </w:rPr>
      </w:pPr>
      <w:r>
        <w:rPr>
          <w:rFonts w:ascii="Angsana New" w:hAnsi="Angsana New"/>
          <w:sz w:val="32"/>
          <w:szCs w:val="32"/>
          <w:cs/>
        </w:rPr>
        <w:lastRenderedPageBreak/>
        <w:t xml:space="preserve">ผลการศึกษาพบว่า จากการทดสอบยูนิทรูท </w:t>
      </w:r>
      <w:r>
        <w:rPr>
          <w:rFonts w:ascii="Angsana New" w:hAnsi="Angsana New"/>
          <w:sz w:val="32"/>
          <w:szCs w:val="32"/>
        </w:rPr>
        <w:t xml:space="preserve">(Unit root test) </w:t>
      </w:r>
      <w:r>
        <w:rPr>
          <w:rFonts w:ascii="Angsana New" w:hAnsi="Angsana New" w:hint="cs"/>
          <w:sz w:val="32"/>
          <w:szCs w:val="32"/>
          <w:cs/>
        </w:rPr>
        <w:t xml:space="preserve">ด้วยวิธี </w:t>
      </w:r>
      <w:r>
        <w:rPr>
          <w:rFonts w:ascii="Angsana New" w:hAnsi="Angsana New"/>
          <w:sz w:val="32"/>
          <w:szCs w:val="32"/>
        </w:rPr>
        <w:t>Augmented Dickey-Fuller Test</w:t>
      </w:r>
      <w:r>
        <w:rPr>
          <w:rFonts w:ascii="Angsana New" w:hAnsi="Angsana New" w:hint="cs"/>
          <w:sz w:val="32"/>
          <w:szCs w:val="32"/>
          <w:cs/>
        </w:rPr>
        <w:t xml:space="preserve"> (</w:t>
      </w:r>
      <w:r>
        <w:rPr>
          <w:rFonts w:ascii="Angsana New" w:hAnsi="Angsana New"/>
          <w:sz w:val="32"/>
          <w:szCs w:val="32"/>
        </w:rPr>
        <w:t xml:space="preserve">ADF-test) </w:t>
      </w:r>
      <w:r>
        <w:rPr>
          <w:rFonts w:ascii="Angsana New" w:hAnsi="Angsana New" w:hint="cs"/>
          <w:sz w:val="32"/>
          <w:szCs w:val="32"/>
          <w:cs/>
        </w:rPr>
        <w:t xml:space="preserve">ของค่าสังเกตของข้อมูลกองทุนรวมจำนวน 12 กองทุนรวม พบว่าค่าสังเกตของข้อมูลทุกตัวมีลักษณะของข้อมูลนิ่ง </w:t>
      </w:r>
      <w:r>
        <w:rPr>
          <w:rFonts w:ascii="Angsana New" w:hAnsi="Angsana New"/>
          <w:sz w:val="32"/>
          <w:szCs w:val="32"/>
        </w:rPr>
        <w:t xml:space="preserve">(stationary) </w:t>
      </w:r>
      <w:r>
        <w:rPr>
          <w:rFonts w:ascii="Angsana New" w:hAnsi="Angsana New" w:hint="cs"/>
          <w:sz w:val="32"/>
          <w:szCs w:val="32"/>
          <w:cs/>
        </w:rPr>
        <w:t>ที่ระดับนัยสำคัญทางสถิติ 0.01 (ความเชื่อมั่น 99</w:t>
      </w:r>
      <w:r>
        <w:rPr>
          <w:rFonts w:ascii="Angsana New" w:hAnsi="Angsana New"/>
          <w:sz w:val="32"/>
          <w:szCs w:val="32"/>
        </w:rPr>
        <w:t xml:space="preserve">%) </w:t>
      </w:r>
      <w:r>
        <w:rPr>
          <w:rFonts w:ascii="Angsana New" w:hAnsi="Angsana New" w:hint="cs"/>
          <w:sz w:val="32"/>
          <w:szCs w:val="32"/>
          <w:cs/>
        </w:rPr>
        <w:t>ของการทดสอบแบบไม่มีทั้งค่าคงที่และมีแนวโน้มเวลา</w:t>
      </w:r>
      <w:r>
        <w:rPr>
          <w:rFonts w:ascii="Angsana New" w:hAnsi="Angsana New"/>
          <w:sz w:val="32"/>
          <w:szCs w:val="32"/>
        </w:rPr>
        <w:t xml:space="preserve"> (none), </w:t>
      </w:r>
      <w:r>
        <w:rPr>
          <w:rFonts w:ascii="Angsana New" w:hAnsi="Angsana New" w:hint="cs"/>
          <w:sz w:val="32"/>
          <w:szCs w:val="32"/>
          <w:cs/>
        </w:rPr>
        <w:t xml:space="preserve">แบบมีค่าคงที่ </w:t>
      </w:r>
      <w:r>
        <w:rPr>
          <w:rFonts w:ascii="Angsana New" w:hAnsi="Angsana New"/>
          <w:sz w:val="32"/>
          <w:szCs w:val="32"/>
        </w:rPr>
        <w:t xml:space="preserve">(intercept) </w:t>
      </w:r>
      <w:r>
        <w:rPr>
          <w:rFonts w:ascii="Angsana New" w:hAnsi="Angsana New" w:hint="cs"/>
          <w:sz w:val="32"/>
          <w:szCs w:val="32"/>
          <w:cs/>
        </w:rPr>
        <w:t xml:space="preserve">และแบบมีค่าคงที่และมีแนวโน้มเวลา </w:t>
      </w:r>
      <w:r>
        <w:rPr>
          <w:rFonts w:ascii="Angsana New" w:hAnsi="Angsana New"/>
          <w:sz w:val="32"/>
          <w:szCs w:val="32"/>
        </w:rPr>
        <w:t xml:space="preserve">(intercept and trend) </w:t>
      </w:r>
      <w:r>
        <w:rPr>
          <w:rFonts w:ascii="Angsana New" w:hAnsi="Angsana New" w:hint="cs"/>
          <w:sz w:val="32"/>
          <w:szCs w:val="32"/>
          <w:cs/>
        </w:rPr>
        <w:t xml:space="preserve">ซึ่งสามารถนำไปหาอัตราผลตอบแทนของ </w:t>
      </w:r>
      <w:r>
        <w:rPr>
          <w:rFonts w:ascii="Angsana New" w:hAnsi="Angsana New"/>
          <w:sz w:val="32"/>
          <w:szCs w:val="32"/>
        </w:rPr>
        <w:t xml:space="preserve">NAV </w:t>
      </w:r>
      <w:r>
        <w:rPr>
          <w:rFonts w:ascii="Angsana New" w:hAnsi="Angsana New" w:hint="cs"/>
          <w:sz w:val="32"/>
          <w:szCs w:val="32"/>
          <w:cs/>
        </w:rPr>
        <w:t>ตามแบบจำลองต่อไปได้</w:t>
      </w:r>
    </w:p>
    <w:p w:rsidR="007E7674" w:rsidRDefault="007E7674" w:rsidP="007E7674">
      <w:pPr>
        <w:tabs>
          <w:tab w:val="left" w:pos="709"/>
        </w:tabs>
        <w:autoSpaceDE w:val="0"/>
        <w:autoSpaceDN w:val="0"/>
        <w:adjustRightInd w:val="0"/>
        <w:jc w:val="thaiDistribute"/>
        <w:rPr>
          <w:rFonts w:ascii="Angsana New" w:eastAsia="Calibri" w:hAnsi="Angsana New"/>
          <w:sz w:val="32"/>
          <w:szCs w:val="32"/>
          <w:lang w:eastAsia="en-US"/>
        </w:rPr>
      </w:pPr>
      <w:r>
        <w:rPr>
          <w:rFonts w:ascii="Angsana New" w:hAnsi="Angsana New"/>
          <w:sz w:val="32"/>
          <w:szCs w:val="32"/>
          <w:cs/>
        </w:rPr>
        <w:tab/>
        <w:t>ส่วนผลการศึกษาจากแบบจำลองแบบจำลองสโทคาสติก ดอมิแนนซ์ (</w:t>
      </w:r>
      <w:r>
        <w:rPr>
          <w:rFonts w:ascii="Angsana New" w:eastAsia="CordiaNew" w:hAnsi="Angsana New"/>
          <w:sz w:val="32"/>
          <w:szCs w:val="32"/>
          <w:lang w:eastAsia="en-US"/>
        </w:rPr>
        <w:t>Stochastic Dominance</w:t>
      </w:r>
      <w:r>
        <w:rPr>
          <w:rFonts w:ascii="Angsana New" w:eastAsia="CordiaNew" w:hAnsi="Angsana New" w:hint="cs"/>
          <w:sz w:val="32"/>
          <w:szCs w:val="32"/>
          <w:cs/>
          <w:lang w:eastAsia="en-US"/>
        </w:rPr>
        <w:t xml:space="preserve"> </w:t>
      </w:r>
      <w:r>
        <w:rPr>
          <w:rFonts w:ascii="Angsana New" w:eastAsia="CordiaNew" w:hAnsi="Angsana New"/>
          <w:sz w:val="32"/>
          <w:szCs w:val="32"/>
          <w:lang w:eastAsia="en-US"/>
        </w:rPr>
        <w:t xml:space="preserve">Model) </w:t>
      </w:r>
      <w:r>
        <w:rPr>
          <w:rFonts w:ascii="Angsana New" w:eastAsia="CordiaNew" w:hAnsi="Angsana New" w:hint="cs"/>
          <w:sz w:val="32"/>
          <w:szCs w:val="32"/>
          <w:cs/>
          <w:lang w:eastAsia="en-US"/>
        </w:rPr>
        <w:t xml:space="preserve">พบว่า กองทุนเปิด ไทยดรากอน </w:t>
      </w:r>
      <w:r>
        <w:rPr>
          <w:rFonts w:ascii="Angsana New" w:eastAsia="CordiaNew" w:hAnsi="Angsana New"/>
          <w:sz w:val="32"/>
          <w:szCs w:val="32"/>
          <w:lang w:eastAsia="en-US"/>
        </w:rPr>
        <w:t xml:space="preserve">(TDF) </w:t>
      </w:r>
      <w:r>
        <w:rPr>
          <w:rFonts w:ascii="Angsana New" w:eastAsia="CordiaNew" w:hAnsi="Angsana New" w:hint="cs"/>
          <w:sz w:val="32"/>
          <w:szCs w:val="32"/>
          <w:cs/>
          <w:lang w:eastAsia="en-US"/>
        </w:rPr>
        <w:t xml:space="preserve">เป็นกองทุนที่ให้อัตราผลตอบแทนจากแบบจำลองพึงพอใจมากที่สุด เนื่องจากมีลักษณะเด่น </w:t>
      </w:r>
      <w:r>
        <w:rPr>
          <w:rFonts w:ascii="Angsana New" w:eastAsia="CordiaNew" w:hAnsi="Angsana New"/>
          <w:sz w:val="32"/>
          <w:szCs w:val="32"/>
          <w:lang w:eastAsia="en-US"/>
        </w:rPr>
        <w:t xml:space="preserve">(dominate) </w:t>
      </w:r>
      <w:r>
        <w:rPr>
          <w:rFonts w:ascii="Angsana New" w:eastAsia="Times New Roman" w:hAnsi="Angsana New"/>
          <w:sz w:val="32"/>
          <w:szCs w:val="32"/>
          <w:cs/>
          <w:lang w:eastAsia="en-US"/>
        </w:rPr>
        <w:t xml:space="preserve">ด้วยจำนวนครั้งมากที่สุดรวม 13 ครั้ง รองลงมาคือ กองทุน </w:t>
      </w:r>
      <w:r>
        <w:rPr>
          <w:rFonts w:ascii="Angsana New" w:eastAsia="Times New Roman" w:hAnsi="Angsana New"/>
          <w:sz w:val="32"/>
          <w:szCs w:val="32"/>
          <w:lang w:eastAsia="en-US"/>
        </w:rPr>
        <w:t xml:space="preserve">UOBUGFI </w:t>
      </w:r>
      <w:r>
        <w:rPr>
          <w:rFonts w:ascii="Angsana New" w:eastAsia="Times New Roman" w:hAnsi="Angsana New" w:hint="cs"/>
          <w:sz w:val="32"/>
          <w:szCs w:val="32"/>
          <w:cs/>
          <w:lang w:eastAsia="en-US"/>
        </w:rPr>
        <w:t xml:space="preserve">ด้วยจำนวนรวม 11 ครั้ง ส่วนกองทุนที่นักลงทุนมีความพอใจในอัตราผลตอบแทนที่น้อยที่สุดคือ กองทุน </w:t>
      </w:r>
      <w:r>
        <w:rPr>
          <w:rFonts w:ascii="Angsana New" w:eastAsia="Times New Roman" w:hAnsi="Angsana New"/>
          <w:sz w:val="32"/>
          <w:szCs w:val="32"/>
          <w:lang w:eastAsia="en-US"/>
        </w:rPr>
        <w:t xml:space="preserve">UOBSDF </w:t>
      </w:r>
      <w:r>
        <w:rPr>
          <w:rFonts w:ascii="Angsana New" w:eastAsia="Times New Roman" w:hAnsi="Angsana New" w:hint="cs"/>
          <w:sz w:val="32"/>
          <w:szCs w:val="32"/>
          <w:cs/>
          <w:lang w:eastAsia="en-US"/>
        </w:rPr>
        <w:t xml:space="preserve">โดยมีลักษณะด้อย </w:t>
      </w:r>
      <w:r>
        <w:rPr>
          <w:rFonts w:ascii="Angsana New" w:eastAsia="Times New Roman" w:hAnsi="Angsana New"/>
          <w:sz w:val="32"/>
          <w:szCs w:val="32"/>
          <w:lang w:eastAsia="en-US"/>
        </w:rPr>
        <w:t xml:space="preserve">(dominated by) </w:t>
      </w:r>
      <w:r>
        <w:rPr>
          <w:rFonts w:ascii="Angsana New" w:eastAsia="Times New Roman" w:hAnsi="Angsana New" w:hint="cs"/>
          <w:sz w:val="32"/>
          <w:szCs w:val="32"/>
          <w:cs/>
          <w:lang w:eastAsia="en-US"/>
        </w:rPr>
        <w:t xml:space="preserve">จำนวนรวม 13 ครั้ง รองลงมาคือ กองทุน </w:t>
      </w:r>
      <w:r>
        <w:rPr>
          <w:rFonts w:ascii="Angsana New" w:eastAsia="Times New Roman" w:hAnsi="Angsana New"/>
          <w:sz w:val="32"/>
          <w:szCs w:val="32"/>
          <w:lang w:eastAsia="en-US"/>
        </w:rPr>
        <w:t xml:space="preserve">TEF </w:t>
      </w:r>
      <w:r>
        <w:rPr>
          <w:rFonts w:ascii="Angsana New" w:eastAsia="Times New Roman" w:hAnsi="Angsana New" w:hint="cs"/>
          <w:sz w:val="32"/>
          <w:szCs w:val="32"/>
          <w:cs/>
          <w:lang w:eastAsia="en-US"/>
        </w:rPr>
        <w:t xml:space="preserve">และกองทุน </w:t>
      </w:r>
      <w:r>
        <w:rPr>
          <w:rFonts w:ascii="Angsana New" w:eastAsia="Times New Roman" w:hAnsi="Angsana New"/>
          <w:sz w:val="32"/>
          <w:szCs w:val="32"/>
          <w:lang w:eastAsia="en-US"/>
        </w:rPr>
        <w:t xml:space="preserve">UOBSET50 </w:t>
      </w:r>
      <w:r>
        <w:rPr>
          <w:rFonts w:ascii="Angsana New" w:eastAsia="Times New Roman" w:hAnsi="Angsana New" w:hint="cs"/>
          <w:sz w:val="32"/>
          <w:szCs w:val="32"/>
          <w:cs/>
          <w:lang w:eastAsia="en-US"/>
        </w:rPr>
        <w:t xml:space="preserve">จำนวนรวม 12 ครั้ง ส่วนกองทุนที่ไม่มีลักษณะด้อย </w:t>
      </w:r>
      <w:r>
        <w:rPr>
          <w:rFonts w:ascii="Angsana New" w:eastAsia="Times New Roman" w:hAnsi="Angsana New"/>
          <w:sz w:val="32"/>
          <w:szCs w:val="32"/>
          <w:lang w:eastAsia="en-US"/>
        </w:rPr>
        <w:t xml:space="preserve">(dominate by) </w:t>
      </w:r>
      <w:r>
        <w:rPr>
          <w:rFonts w:ascii="Angsana New" w:eastAsia="Times New Roman" w:hAnsi="Angsana New" w:hint="cs"/>
          <w:sz w:val="32"/>
          <w:szCs w:val="32"/>
          <w:cs/>
          <w:lang w:eastAsia="en-US"/>
        </w:rPr>
        <w:t>จากการจาก</w:t>
      </w:r>
      <w:r>
        <w:rPr>
          <w:rFonts w:ascii="Angsana New" w:eastAsia="Times New Roman" w:hAnsi="Angsana New"/>
          <w:sz w:val="32"/>
          <w:szCs w:val="32"/>
          <w:cs/>
        </w:rPr>
        <w:t>การวิเคราะห์โดยวิธีสโทคาสติก ดอมิแนนซ์ (</w:t>
      </w:r>
      <w:r>
        <w:rPr>
          <w:rFonts w:ascii="Angsana New" w:eastAsia="Times New Roman" w:hAnsi="Angsana New"/>
          <w:sz w:val="32"/>
          <w:szCs w:val="32"/>
        </w:rPr>
        <w:t>Stochastic Dominance</w:t>
      </w:r>
      <w:r>
        <w:rPr>
          <w:rFonts w:ascii="Angsana New" w:hAnsi="Angsana New"/>
          <w:sz w:val="32"/>
          <w:szCs w:val="32"/>
        </w:rPr>
        <w:t>: SD)</w:t>
      </w:r>
      <w:r>
        <w:rPr>
          <w:rFonts w:ascii="Angsana New" w:eastAsia="Times New Roman" w:hAnsi="Angsana New"/>
          <w:sz w:val="32"/>
          <w:szCs w:val="32"/>
          <w:cs/>
        </w:rPr>
        <w:t xml:space="preserve"> </w:t>
      </w:r>
      <w:r>
        <w:rPr>
          <w:rFonts w:ascii="Angsana New" w:eastAsia="Times New Roman" w:hAnsi="Angsana New"/>
          <w:sz w:val="32"/>
          <w:szCs w:val="32"/>
          <w:cs/>
          <w:lang w:eastAsia="en-US"/>
        </w:rPr>
        <w:t xml:space="preserve">คือ กองทุน </w:t>
      </w:r>
      <w:r>
        <w:rPr>
          <w:rFonts w:ascii="Angsana New" w:eastAsia="Times New Roman" w:hAnsi="Angsana New"/>
          <w:sz w:val="32"/>
          <w:szCs w:val="32"/>
          <w:lang w:eastAsia="en-US"/>
        </w:rPr>
        <w:t xml:space="preserve">UOBUGFI </w:t>
      </w:r>
      <w:r>
        <w:rPr>
          <w:rFonts w:ascii="Angsana New" w:eastAsia="Times New Roman" w:hAnsi="Angsana New" w:hint="cs"/>
          <w:sz w:val="32"/>
          <w:szCs w:val="32"/>
          <w:cs/>
          <w:lang w:eastAsia="en-US"/>
        </w:rPr>
        <w:t xml:space="preserve">และกองทุนที่ไม่มีลักษณะเด่น </w:t>
      </w:r>
      <w:r>
        <w:rPr>
          <w:rFonts w:ascii="Angsana New" w:eastAsia="Times New Roman" w:hAnsi="Angsana New"/>
          <w:sz w:val="32"/>
          <w:szCs w:val="32"/>
          <w:lang w:eastAsia="en-US"/>
        </w:rPr>
        <w:t>(dominate)</w:t>
      </w:r>
      <w:r>
        <w:rPr>
          <w:rFonts w:ascii="Angsana New" w:eastAsia="Times New Roman" w:hAnsi="Angsana New" w:hint="cs"/>
          <w:sz w:val="32"/>
          <w:szCs w:val="32"/>
          <w:cs/>
          <w:lang w:eastAsia="en-US"/>
        </w:rPr>
        <w:t xml:space="preserve"> ปรากฏให้เห็น</w:t>
      </w:r>
      <w:r>
        <w:rPr>
          <w:rFonts w:ascii="Angsana New" w:eastAsia="Times New Roman" w:hAnsi="Angsana New"/>
          <w:sz w:val="32"/>
          <w:szCs w:val="32"/>
          <w:cs/>
        </w:rPr>
        <w:t xml:space="preserve">เลย </w:t>
      </w:r>
      <w:r>
        <w:rPr>
          <w:rFonts w:ascii="Angsana New" w:hAnsi="Angsana New"/>
          <w:sz w:val="32"/>
          <w:szCs w:val="32"/>
          <w:cs/>
        </w:rPr>
        <w:t xml:space="preserve">คือ กองทุน </w:t>
      </w:r>
      <w:r>
        <w:rPr>
          <w:rFonts w:ascii="Angsana New" w:hAnsi="Angsana New"/>
          <w:sz w:val="32"/>
          <w:szCs w:val="32"/>
        </w:rPr>
        <w:t xml:space="preserve">TEF </w:t>
      </w:r>
      <w:r>
        <w:rPr>
          <w:rFonts w:ascii="Angsana New" w:hAnsi="Angsana New" w:hint="cs"/>
          <w:sz w:val="32"/>
          <w:szCs w:val="32"/>
          <w:cs/>
        </w:rPr>
        <w:t xml:space="preserve">และกองทุน </w:t>
      </w:r>
      <w:r>
        <w:rPr>
          <w:rFonts w:ascii="Angsana New" w:hAnsi="Angsana New"/>
          <w:sz w:val="32"/>
          <w:szCs w:val="32"/>
        </w:rPr>
        <w:t>UOBSET50</w:t>
      </w:r>
    </w:p>
    <w:p w:rsidR="002F3EC4" w:rsidRDefault="002F3EC4" w:rsidP="002F3EC4">
      <w:pPr>
        <w:ind w:left="2977" w:hanging="2977"/>
        <w:rPr>
          <w:rFonts w:ascii="Angsana New" w:hAnsi="Angsana New"/>
          <w:sz w:val="32"/>
          <w:szCs w:val="32"/>
        </w:rPr>
      </w:pPr>
    </w:p>
    <w:p w:rsidR="002F3EC4" w:rsidRDefault="002F3EC4" w:rsidP="002F3EC4">
      <w:pPr>
        <w:ind w:left="2977" w:hanging="2977"/>
        <w:rPr>
          <w:rFonts w:ascii="Angsana New" w:hAnsi="Angsana New"/>
          <w:sz w:val="32"/>
          <w:szCs w:val="32"/>
        </w:rPr>
      </w:pPr>
    </w:p>
    <w:p w:rsidR="002F3EC4" w:rsidRDefault="002F3EC4" w:rsidP="002F3EC4">
      <w:pPr>
        <w:rPr>
          <w:rFonts w:ascii="Angsana New" w:hAnsi="Angsana New"/>
          <w:sz w:val="32"/>
          <w:szCs w:val="32"/>
          <w:cs/>
        </w:rPr>
      </w:pPr>
      <w:r>
        <w:rPr>
          <w:rFonts w:ascii="Angsana New" w:hAnsi="Angsana New"/>
          <w:sz w:val="32"/>
          <w:szCs w:val="32"/>
          <w:cs/>
        </w:rPr>
        <w:br w:type="page"/>
      </w:r>
    </w:p>
    <w:p w:rsidR="002F3EC4" w:rsidRDefault="002F3EC4" w:rsidP="002F3EC4">
      <w:pPr>
        <w:autoSpaceDE w:val="0"/>
        <w:autoSpaceDN w:val="0"/>
        <w:adjustRightInd w:val="0"/>
        <w:ind w:left="2977" w:hanging="2977"/>
        <w:rPr>
          <w:rFonts w:ascii="Angsana New" w:hAnsi="Angsana New"/>
          <w:b/>
          <w:bCs/>
          <w:sz w:val="32"/>
          <w:szCs w:val="32"/>
        </w:rPr>
        <w:sectPr w:rsidR="002F3EC4" w:rsidSect="007E7674">
          <w:pgSz w:w="11906" w:h="16838"/>
          <w:pgMar w:top="1418" w:right="1418" w:bottom="1701" w:left="1985" w:header="709" w:footer="964" w:gutter="0"/>
          <w:pgNumType w:fmt="thaiLetters" w:start="5"/>
          <w:cols w:space="708"/>
          <w:docGrid w:linePitch="360"/>
        </w:sectPr>
      </w:pPr>
    </w:p>
    <w:p w:rsidR="002F3EC4" w:rsidRPr="00450FA1" w:rsidRDefault="002F3EC4" w:rsidP="002F3EC4">
      <w:pPr>
        <w:autoSpaceDE w:val="0"/>
        <w:autoSpaceDN w:val="0"/>
        <w:adjustRightInd w:val="0"/>
        <w:ind w:left="2977" w:hanging="2977"/>
        <w:rPr>
          <w:rFonts w:ascii="Angsana New" w:hAnsi="Angsana New"/>
          <w:sz w:val="32"/>
          <w:szCs w:val="32"/>
        </w:rPr>
      </w:pPr>
      <w:r w:rsidRPr="00450FA1">
        <w:rPr>
          <w:rFonts w:ascii="Angsana New" w:hAnsi="Angsana New"/>
          <w:b/>
          <w:bCs/>
          <w:sz w:val="32"/>
          <w:szCs w:val="32"/>
        </w:rPr>
        <w:lastRenderedPageBreak/>
        <w:t>Independent Study Title</w:t>
      </w:r>
      <w:r w:rsidRPr="00450FA1">
        <w:rPr>
          <w:rFonts w:ascii="Angsana New" w:hAnsi="Angsana New"/>
          <w:sz w:val="32"/>
          <w:szCs w:val="32"/>
        </w:rPr>
        <w:t xml:space="preserve"> </w:t>
      </w:r>
      <w:r w:rsidRPr="00450FA1">
        <w:rPr>
          <w:rFonts w:ascii="Angsana New" w:hAnsi="Angsana New"/>
          <w:sz w:val="32"/>
          <w:szCs w:val="32"/>
          <w:cs/>
        </w:rPr>
        <w:tab/>
      </w:r>
      <w:r w:rsidRPr="00450FA1">
        <w:rPr>
          <w:rFonts w:ascii="Angsana New" w:hAnsi="Angsana New"/>
          <w:sz w:val="32"/>
          <w:szCs w:val="32"/>
        </w:rPr>
        <w:t>An Analysis of Return and Risk of Equity Funds Managed by UOB Asset Management (Thailand)</w:t>
      </w:r>
    </w:p>
    <w:p w:rsidR="002F3EC4" w:rsidRPr="00450FA1" w:rsidRDefault="002F3EC4" w:rsidP="002F3EC4">
      <w:pPr>
        <w:autoSpaceDE w:val="0"/>
        <w:autoSpaceDN w:val="0"/>
        <w:adjustRightInd w:val="0"/>
        <w:ind w:left="2977" w:hanging="2977"/>
        <w:rPr>
          <w:rFonts w:ascii="Angsana New" w:hAnsi="Angsana New"/>
          <w:sz w:val="32"/>
          <w:szCs w:val="32"/>
          <w:cs/>
        </w:rPr>
      </w:pPr>
    </w:p>
    <w:p w:rsidR="002F3EC4" w:rsidRDefault="002F3EC4" w:rsidP="002F3EC4">
      <w:pPr>
        <w:ind w:left="2977" w:hanging="2977"/>
        <w:rPr>
          <w:rFonts w:ascii="Angsana New" w:hAnsi="Angsana New"/>
          <w:sz w:val="32"/>
          <w:szCs w:val="32"/>
        </w:rPr>
      </w:pPr>
      <w:r>
        <w:rPr>
          <w:rFonts w:ascii="Angsana New" w:hAnsi="Angsana New"/>
          <w:b/>
          <w:bCs/>
          <w:sz w:val="32"/>
          <w:szCs w:val="32"/>
        </w:rPr>
        <w:t>Author</w:t>
      </w:r>
      <w:r>
        <w:rPr>
          <w:rFonts w:ascii="Angsana New" w:hAnsi="Angsana New"/>
          <w:sz w:val="32"/>
          <w:szCs w:val="32"/>
        </w:rPr>
        <w:tab/>
        <w:t>Ms. Kanya Napasin</w:t>
      </w:r>
    </w:p>
    <w:p w:rsidR="002F3EC4" w:rsidRDefault="002F3EC4" w:rsidP="002F3EC4">
      <w:pPr>
        <w:ind w:left="2977" w:hanging="2977"/>
        <w:rPr>
          <w:rFonts w:ascii="Angsana New" w:hAnsi="Angsana New"/>
          <w:sz w:val="32"/>
          <w:szCs w:val="32"/>
        </w:rPr>
      </w:pPr>
    </w:p>
    <w:p w:rsidR="002F3EC4" w:rsidRDefault="002F3EC4" w:rsidP="002F3EC4">
      <w:pPr>
        <w:ind w:left="2977" w:hanging="2977"/>
        <w:rPr>
          <w:rFonts w:ascii="Angsana New" w:hAnsi="Angsana New"/>
          <w:sz w:val="32"/>
          <w:szCs w:val="32"/>
        </w:rPr>
      </w:pPr>
      <w:r>
        <w:rPr>
          <w:rFonts w:ascii="Angsana New" w:hAnsi="Angsana New"/>
          <w:b/>
          <w:bCs/>
          <w:sz w:val="32"/>
          <w:szCs w:val="32"/>
        </w:rPr>
        <w:t>Degree</w:t>
      </w:r>
      <w:r>
        <w:rPr>
          <w:rFonts w:ascii="Angsana New" w:hAnsi="Angsana New" w:hint="cs"/>
          <w:sz w:val="32"/>
          <w:szCs w:val="32"/>
          <w:cs/>
        </w:rPr>
        <w:tab/>
      </w:r>
      <w:r>
        <w:rPr>
          <w:rFonts w:ascii="Angsana New" w:hAnsi="Angsana New"/>
          <w:sz w:val="32"/>
          <w:szCs w:val="32"/>
        </w:rPr>
        <w:t>Master of Economics</w:t>
      </w:r>
    </w:p>
    <w:p w:rsidR="002F3EC4" w:rsidRDefault="002F3EC4" w:rsidP="002F3EC4">
      <w:pPr>
        <w:ind w:left="2977" w:hanging="2977"/>
        <w:rPr>
          <w:rFonts w:ascii="Angsana New" w:hAnsi="Angsana New"/>
          <w:sz w:val="32"/>
          <w:szCs w:val="32"/>
        </w:rPr>
      </w:pPr>
    </w:p>
    <w:p w:rsidR="002F3EC4" w:rsidRPr="00B77DF9" w:rsidRDefault="002F3EC4" w:rsidP="002F3EC4">
      <w:pPr>
        <w:ind w:left="2977" w:hanging="2977"/>
        <w:rPr>
          <w:rFonts w:ascii="Angsana New" w:hAnsi="Angsana New"/>
          <w:sz w:val="32"/>
          <w:szCs w:val="32"/>
        </w:rPr>
      </w:pPr>
      <w:r w:rsidRPr="00B77DF9">
        <w:rPr>
          <w:rFonts w:ascii="Angsana New" w:hAnsi="Angsana New"/>
          <w:b/>
          <w:bCs/>
          <w:sz w:val="32"/>
          <w:szCs w:val="32"/>
        </w:rPr>
        <w:t>Advisory Committee</w:t>
      </w:r>
      <w:r w:rsidRPr="00B77DF9">
        <w:rPr>
          <w:rFonts w:ascii="Angsana New" w:hAnsi="Angsana New"/>
          <w:sz w:val="32"/>
          <w:szCs w:val="32"/>
          <w:cs/>
        </w:rPr>
        <w:tab/>
      </w:r>
      <w:r w:rsidR="002314E0">
        <w:rPr>
          <w:rFonts w:ascii="Angsana New" w:hAnsi="Angsana New"/>
          <w:sz w:val="32"/>
          <w:szCs w:val="32"/>
        </w:rPr>
        <w:t>Asst</w:t>
      </w:r>
      <w:r w:rsidRPr="00B77DF9">
        <w:rPr>
          <w:rFonts w:ascii="Angsana New" w:hAnsi="Angsana New"/>
          <w:sz w:val="32"/>
          <w:szCs w:val="32"/>
        </w:rPr>
        <w:t xml:space="preserve">. </w:t>
      </w:r>
      <w:r>
        <w:rPr>
          <w:rStyle w:val="st"/>
          <w:rFonts w:ascii="Angsana New" w:hAnsi="Angsana New"/>
          <w:sz w:val="32"/>
          <w:szCs w:val="32"/>
        </w:rPr>
        <w:t xml:space="preserve">Prof. </w:t>
      </w:r>
      <w:r w:rsidRPr="00B77DF9">
        <w:rPr>
          <w:rStyle w:val="st"/>
          <w:rFonts w:ascii="Angsana New" w:hAnsi="Angsana New"/>
          <w:sz w:val="32"/>
          <w:szCs w:val="32"/>
        </w:rPr>
        <w:t>Dr. Chukiat Chaiboonsri</w:t>
      </w:r>
      <w:r>
        <w:rPr>
          <w:rFonts w:ascii="Angsana New" w:hAnsi="Angsana New"/>
          <w:sz w:val="32"/>
          <w:szCs w:val="32"/>
          <w:cs/>
        </w:rPr>
        <w:tab/>
      </w:r>
      <w:r w:rsidRPr="00B77DF9">
        <w:rPr>
          <w:rFonts w:ascii="Angsana New" w:hAnsi="Angsana New"/>
          <w:sz w:val="32"/>
          <w:szCs w:val="32"/>
        </w:rPr>
        <w:t>Advisor</w:t>
      </w:r>
    </w:p>
    <w:p w:rsidR="002F3EC4" w:rsidRPr="00B77DF9" w:rsidRDefault="002F3EC4" w:rsidP="002F3EC4">
      <w:pPr>
        <w:ind w:left="2977" w:hanging="2977"/>
        <w:rPr>
          <w:rFonts w:ascii="Angsana New" w:hAnsi="Angsana New"/>
          <w:sz w:val="32"/>
          <w:szCs w:val="32"/>
        </w:rPr>
      </w:pPr>
      <w:r w:rsidRPr="00B77DF9">
        <w:rPr>
          <w:rFonts w:ascii="Angsana New" w:hAnsi="Angsana New"/>
          <w:sz w:val="32"/>
          <w:szCs w:val="32"/>
          <w:cs/>
        </w:rPr>
        <w:tab/>
      </w:r>
      <w:bookmarkStart w:id="1" w:name="1"/>
      <w:r w:rsidRPr="00B77DF9">
        <w:rPr>
          <w:rFonts w:ascii="Angsana New" w:hAnsi="Angsana New"/>
          <w:sz w:val="32"/>
          <w:szCs w:val="32"/>
        </w:rPr>
        <w:t>Assoc. Prof. Dr</w:t>
      </w:r>
      <w:bookmarkEnd w:id="1"/>
      <w:r w:rsidRPr="00B77DF9">
        <w:rPr>
          <w:rStyle w:val="smalltext"/>
          <w:rFonts w:ascii="Angsana New" w:hAnsi="Angsana New"/>
          <w:sz w:val="32"/>
          <w:szCs w:val="32"/>
        </w:rPr>
        <w:t>. Prasert Chaitip</w:t>
      </w:r>
      <w:r w:rsidRPr="00B77DF9">
        <w:rPr>
          <w:rFonts w:ascii="Angsana New" w:hAnsi="Angsana New"/>
          <w:sz w:val="32"/>
          <w:szCs w:val="32"/>
          <w:cs/>
        </w:rPr>
        <w:tab/>
      </w:r>
      <w:r>
        <w:rPr>
          <w:rFonts w:ascii="Angsana New" w:hAnsi="Angsana New"/>
          <w:sz w:val="32"/>
          <w:szCs w:val="32"/>
        </w:rPr>
        <w:tab/>
      </w:r>
      <w:r w:rsidRPr="00B77DF9">
        <w:rPr>
          <w:rFonts w:ascii="Angsana New" w:hAnsi="Angsana New"/>
          <w:sz w:val="32"/>
          <w:szCs w:val="32"/>
        </w:rPr>
        <w:t>Co-advisor</w:t>
      </w:r>
    </w:p>
    <w:p w:rsidR="002F3EC4" w:rsidRDefault="002F3EC4" w:rsidP="002F3EC4">
      <w:pPr>
        <w:ind w:left="2977" w:hanging="2977"/>
        <w:rPr>
          <w:rFonts w:ascii="Angsana New" w:hAnsi="Angsana New"/>
          <w:b/>
          <w:bCs/>
          <w:sz w:val="40"/>
          <w:szCs w:val="40"/>
        </w:rPr>
      </w:pPr>
    </w:p>
    <w:p w:rsidR="002F3EC4" w:rsidRDefault="002F3EC4" w:rsidP="002F3EC4">
      <w:pPr>
        <w:ind w:left="2977" w:hanging="2977"/>
        <w:jc w:val="center"/>
        <w:rPr>
          <w:rFonts w:ascii="Angsana New" w:hAnsi="Angsana New"/>
          <w:b/>
          <w:bCs/>
          <w:sz w:val="40"/>
          <w:szCs w:val="40"/>
        </w:rPr>
      </w:pPr>
      <w:r>
        <w:rPr>
          <w:rFonts w:ascii="Angsana New" w:hAnsi="Angsana New"/>
          <w:b/>
          <w:bCs/>
          <w:sz w:val="40"/>
          <w:szCs w:val="40"/>
        </w:rPr>
        <w:t>ABSTRACT</w:t>
      </w:r>
    </w:p>
    <w:p w:rsidR="002F3EC4" w:rsidRPr="007E7674" w:rsidRDefault="002F3EC4" w:rsidP="002F3EC4">
      <w:pPr>
        <w:ind w:left="2977" w:hanging="2977"/>
        <w:rPr>
          <w:rFonts w:ascii="Angsana New" w:hAnsi="Angsana New"/>
          <w:b/>
          <w:bCs/>
          <w:color w:val="000000" w:themeColor="text1"/>
          <w:sz w:val="40"/>
          <w:szCs w:val="40"/>
        </w:rPr>
      </w:pPr>
    </w:p>
    <w:p w:rsidR="007E7674" w:rsidRPr="007E7674" w:rsidRDefault="007E7674" w:rsidP="007E7674">
      <w:pPr>
        <w:spacing w:after="240"/>
        <w:ind w:firstLine="720"/>
        <w:jc w:val="thaiDistribute"/>
        <w:rPr>
          <w:rFonts w:ascii="Angsana New" w:eastAsia="Calibri" w:hAnsi="Angsana New"/>
          <w:color w:val="000000" w:themeColor="text1"/>
          <w:sz w:val="32"/>
          <w:szCs w:val="32"/>
          <w:lang w:eastAsia="en-US"/>
        </w:rPr>
      </w:pPr>
      <w:r w:rsidRPr="007E7674">
        <w:rPr>
          <w:rFonts w:ascii="Angsana New" w:eastAsia="Calibri" w:hAnsi="Angsana New"/>
          <w:color w:val="000000" w:themeColor="text1"/>
          <w:sz w:val="32"/>
          <w:szCs w:val="32"/>
          <w:lang w:eastAsia="en-US"/>
        </w:rPr>
        <w:t xml:space="preserve">This study aims to analyze the yield of 11 equity funds managed by UOB Asset Management (Thailand) Public Company Limited by comparing with United Singapore Growth Fund (UOBUGFI) managed by UOB Asset Management (Singapore). Eleven equity funds of UOBAM (Thai) include Kamrai Permpoon Open-ended Fund (KPLUS), Kamrai Permpoon Open-ended Fund 2 (KPLUS2), Thai Dragon Fund (TDF), Kiatnakin Fund (KKF), Thai Equity Fund (TEF), Thai Equity – Dividend Fund (TEF-DIV), UOB Smart Active SET 100 Fund (UOBSAS100), UOB Smart Active SET 100 Dividend Fund (UOBSAS100D), UOB Smart Dividend-Focused Equity Fund (UOBSDF), UOB Smart SET50 Fund (UOBSET50), and Thai Value Focus Equity-Dividend Fund (VFOCUS-D). The analysis applies </w:t>
      </w:r>
      <w:r w:rsidRPr="007E7674">
        <w:rPr>
          <w:rFonts w:ascii="Angsana New" w:eastAsia="CordiaNew" w:hAnsi="Angsana New"/>
          <w:color w:val="000000" w:themeColor="text1"/>
          <w:sz w:val="32"/>
          <w:szCs w:val="32"/>
          <w:lang w:eastAsia="en-US"/>
        </w:rPr>
        <w:t>Stochastic Dominance</w:t>
      </w:r>
      <w:r w:rsidRPr="007E7674">
        <w:rPr>
          <w:rFonts w:ascii="Angsana New" w:eastAsia="CordiaNew" w:hAnsi="Angsana New" w:hint="cs"/>
          <w:color w:val="000000" w:themeColor="text1"/>
          <w:sz w:val="32"/>
          <w:szCs w:val="32"/>
          <w:cs/>
          <w:lang w:eastAsia="en-US"/>
        </w:rPr>
        <w:t xml:space="preserve"> </w:t>
      </w:r>
      <w:r w:rsidRPr="007E7674">
        <w:rPr>
          <w:rFonts w:ascii="Angsana New" w:eastAsia="CordiaNew" w:hAnsi="Angsana New"/>
          <w:color w:val="000000" w:themeColor="text1"/>
          <w:sz w:val="32"/>
          <w:szCs w:val="32"/>
          <w:lang w:eastAsia="en-US"/>
        </w:rPr>
        <w:t>Model</w:t>
      </w:r>
      <w:r w:rsidRPr="007E7674">
        <w:rPr>
          <w:rFonts w:ascii="Angsana New" w:eastAsia="Calibri" w:hAnsi="Angsana New"/>
          <w:color w:val="000000" w:themeColor="text1"/>
          <w:sz w:val="32"/>
          <w:szCs w:val="32"/>
          <w:lang w:eastAsia="en-US"/>
        </w:rPr>
        <w:t xml:space="preserve"> to be the guideline for investors’ decision in the investment by using daily time-series data about the yield of Net Asset Value (NAV) on September 7, 2012 – March 31, 2015 (628 observations ).</w:t>
      </w:r>
    </w:p>
    <w:p w:rsidR="007E7674" w:rsidRPr="007E7674" w:rsidRDefault="007E7674" w:rsidP="007E7674">
      <w:pPr>
        <w:ind w:firstLine="720"/>
        <w:jc w:val="thaiDistribute"/>
        <w:rPr>
          <w:rFonts w:ascii="Angsana New" w:eastAsia="Calibri" w:hAnsi="Angsana New"/>
          <w:color w:val="000000" w:themeColor="text1"/>
          <w:sz w:val="32"/>
          <w:szCs w:val="32"/>
          <w:lang w:eastAsia="en-US"/>
        </w:rPr>
      </w:pPr>
      <w:r w:rsidRPr="007E7674">
        <w:rPr>
          <w:rFonts w:ascii="Angsana New" w:eastAsia="Calibri" w:hAnsi="Angsana New"/>
          <w:color w:val="000000" w:themeColor="text1"/>
          <w:sz w:val="32"/>
          <w:szCs w:val="32"/>
          <w:lang w:eastAsia="en-US"/>
        </w:rPr>
        <w:t xml:space="preserve">The test  applying </w:t>
      </w:r>
      <w:r w:rsidRPr="007E7674">
        <w:rPr>
          <w:rFonts w:ascii="Angsana New" w:hAnsi="Angsana New"/>
          <w:color w:val="000000" w:themeColor="text1"/>
          <w:sz w:val="32"/>
          <w:szCs w:val="32"/>
        </w:rPr>
        <w:t>Augmented Dickey-Fuller Test</w:t>
      </w:r>
      <w:r w:rsidRPr="007E7674">
        <w:rPr>
          <w:rFonts w:ascii="Angsana New" w:hAnsi="Angsana New" w:hint="cs"/>
          <w:color w:val="000000" w:themeColor="text1"/>
          <w:sz w:val="32"/>
          <w:szCs w:val="32"/>
          <w:cs/>
        </w:rPr>
        <w:t xml:space="preserve"> (</w:t>
      </w:r>
      <w:r w:rsidRPr="007E7674">
        <w:rPr>
          <w:rFonts w:ascii="Angsana New" w:hAnsi="Angsana New"/>
          <w:color w:val="000000" w:themeColor="text1"/>
          <w:sz w:val="32"/>
          <w:szCs w:val="32"/>
        </w:rPr>
        <w:t>ADF-test)</w:t>
      </w:r>
      <w:r w:rsidRPr="007E7674">
        <w:rPr>
          <w:rFonts w:ascii="Angsana New" w:eastAsia="Calibri" w:hAnsi="Angsana New"/>
          <w:color w:val="000000" w:themeColor="text1"/>
          <w:sz w:val="32"/>
          <w:szCs w:val="32"/>
          <w:lang w:eastAsia="en-US"/>
        </w:rPr>
        <w:t xml:space="preserve"> of </w:t>
      </w:r>
      <w:r w:rsidRPr="007E7674">
        <w:rPr>
          <w:rFonts w:ascii="Angsana New" w:hAnsi="Angsana New"/>
          <w:color w:val="000000" w:themeColor="text1"/>
          <w:sz w:val="32"/>
          <w:szCs w:val="32"/>
        </w:rPr>
        <w:t>Unit root test</w:t>
      </w:r>
      <w:r w:rsidRPr="007E7674">
        <w:rPr>
          <w:rFonts w:ascii="Angsana New" w:eastAsia="Calibri" w:hAnsi="Angsana New"/>
          <w:color w:val="000000" w:themeColor="text1"/>
          <w:sz w:val="32"/>
          <w:szCs w:val="32"/>
          <w:lang w:eastAsia="en-US"/>
        </w:rPr>
        <w:t xml:space="preserve"> to analyze 12 equity funds reveals that the observation of all data are</w:t>
      </w:r>
      <w:r w:rsidRPr="007E7674">
        <w:rPr>
          <w:rFonts w:ascii="Angsana New" w:hAnsi="Angsana New"/>
          <w:color w:val="000000" w:themeColor="text1"/>
          <w:sz w:val="32"/>
          <w:szCs w:val="32"/>
        </w:rPr>
        <w:t xml:space="preserve"> stationary with the level of statistical significance</w:t>
      </w:r>
      <w:r w:rsidRPr="007E7674">
        <w:rPr>
          <w:rFonts w:ascii="Angsana New" w:eastAsia="Calibri" w:hAnsi="Angsana New"/>
          <w:color w:val="000000" w:themeColor="text1"/>
          <w:sz w:val="32"/>
          <w:szCs w:val="32"/>
          <w:lang w:eastAsia="en-US"/>
        </w:rPr>
        <w:t xml:space="preserve"> of </w:t>
      </w:r>
      <w:r w:rsidRPr="007E7674">
        <w:rPr>
          <w:rFonts w:ascii="Angsana New" w:hAnsi="Angsana New"/>
          <w:color w:val="000000" w:themeColor="text1"/>
          <w:sz w:val="32"/>
          <w:szCs w:val="32"/>
          <w:cs/>
        </w:rPr>
        <w:t>0.01</w:t>
      </w:r>
      <w:r w:rsidRPr="007E7674">
        <w:rPr>
          <w:rFonts w:ascii="Angsana New" w:hAnsi="Angsana New"/>
          <w:color w:val="000000" w:themeColor="text1"/>
          <w:sz w:val="32"/>
          <w:szCs w:val="32"/>
        </w:rPr>
        <w:t xml:space="preserve">% </w:t>
      </w:r>
      <w:r w:rsidRPr="007E7674">
        <w:rPr>
          <w:rFonts w:ascii="Angsana New" w:eastAsia="Calibri" w:hAnsi="Angsana New"/>
          <w:color w:val="000000" w:themeColor="text1"/>
          <w:sz w:val="32"/>
          <w:szCs w:val="32"/>
          <w:lang w:eastAsia="en-US"/>
        </w:rPr>
        <w:t xml:space="preserve">. There are several kinds of results from the test, including non- </w:t>
      </w:r>
      <w:r w:rsidRPr="007E7674">
        <w:rPr>
          <w:rFonts w:ascii="Angsana New" w:hAnsi="Angsana New"/>
          <w:color w:val="000000" w:themeColor="text1"/>
          <w:sz w:val="32"/>
          <w:szCs w:val="32"/>
        </w:rPr>
        <w:t xml:space="preserve">intercept and trend test, intercept test, and intercept and trend test. These results can later be used to find </w:t>
      </w:r>
      <w:r w:rsidRPr="007E7674">
        <w:rPr>
          <w:rFonts w:ascii="Angsana New" w:eastAsia="Calibri" w:hAnsi="Angsana New"/>
          <w:color w:val="000000" w:themeColor="text1"/>
          <w:sz w:val="32"/>
          <w:szCs w:val="32"/>
          <w:lang w:eastAsia="en-US"/>
        </w:rPr>
        <w:t xml:space="preserve">the yield of Net Asset Value (NAV) based on </w:t>
      </w:r>
      <w:r w:rsidRPr="007E7674">
        <w:rPr>
          <w:rFonts w:ascii="Angsana New" w:eastAsia="CordiaNew" w:hAnsi="Angsana New"/>
          <w:color w:val="000000" w:themeColor="text1"/>
          <w:sz w:val="32"/>
          <w:szCs w:val="32"/>
          <w:lang w:eastAsia="en-US"/>
        </w:rPr>
        <w:t>Stochastic Dominance</w:t>
      </w:r>
      <w:r w:rsidRPr="007E7674">
        <w:rPr>
          <w:rFonts w:ascii="Angsana New" w:eastAsia="CordiaNew" w:hAnsi="Angsana New" w:hint="cs"/>
          <w:color w:val="000000" w:themeColor="text1"/>
          <w:sz w:val="32"/>
          <w:szCs w:val="32"/>
          <w:cs/>
          <w:lang w:eastAsia="en-US"/>
        </w:rPr>
        <w:t xml:space="preserve"> </w:t>
      </w:r>
      <w:r w:rsidRPr="007E7674">
        <w:rPr>
          <w:rFonts w:ascii="Angsana New" w:eastAsia="CordiaNew" w:hAnsi="Angsana New"/>
          <w:color w:val="000000" w:themeColor="text1"/>
          <w:sz w:val="32"/>
          <w:szCs w:val="32"/>
          <w:lang w:eastAsia="en-US"/>
        </w:rPr>
        <w:t xml:space="preserve">Model. </w:t>
      </w:r>
    </w:p>
    <w:p w:rsidR="007E7674" w:rsidRDefault="007E7674" w:rsidP="007E7674">
      <w:pPr>
        <w:ind w:firstLine="720"/>
        <w:jc w:val="thaiDistribute"/>
        <w:rPr>
          <w:rFonts w:ascii="Angsana New" w:hAnsi="Angsana New"/>
          <w:color w:val="000000" w:themeColor="text1"/>
          <w:sz w:val="32"/>
          <w:szCs w:val="32"/>
        </w:rPr>
        <w:sectPr w:rsidR="007E7674" w:rsidSect="00956148">
          <w:pgSz w:w="11906" w:h="16838"/>
          <w:pgMar w:top="1985" w:right="1418" w:bottom="1701" w:left="1985" w:header="709" w:footer="964" w:gutter="0"/>
          <w:pgNumType w:fmt="thaiLetters" w:start="6"/>
          <w:cols w:space="708"/>
          <w:docGrid w:linePitch="360"/>
        </w:sectPr>
      </w:pPr>
    </w:p>
    <w:p w:rsidR="002F3EC4" w:rsidRDefault="007E7674" w:rsidP="007E7674">
      <w:pPr>
        <w:ind w:firstLine="720"/>
        <w:jc w:val="thaiDistribute"/>
        <w:rPr>
          <w:rFonts w:ascii="Angsana New" w:hAnsi="Angsana New"/>
          <w:sz w:val="32"/>
          <w:szCs w:val="32"/>
        </w:rPr>
      </w:pPr>
      <w:r w:rsidRPr="007E7674">
        <w:rPr>
          <w:rFonts w:ascii="Angsana New" w:hAnsi="Angsana New"/>
          <w:color w:val="000000" w:themeColor="text1"/>
          <w:sz w:val="32"/>
          <w:szCs w:val="32"/>
        </w:rPr>
        <w:lastRenderedPageBreak/>
        <w:t>Results from Stochastic Dominance Model show that Thai Dragon Fund (TDF) provides the most satisfying yield due to its dominate quality with providing the yield for 13 times, followed by United Singapore Growth Fund (UOBUGFI) with providing the yield for 11 times. The equity fund that the investors are satisfied with its yield the least is UOB Smart Dividend-Focused Equity Fund (UOBSDF) with its recessive qualities for 13 times, followed by Thai Equity Fund (TEF) and UOB Smart SET50 Fund (UOBSET50) with the recessive qualities for 12 times. To sum up, the best equity fund that has no recessive quality is United Singapore Growth Fund (UOBUGFI). In addition, the equity funds that have no dominated quality are Thai Equity Fund (TEF) and UOB Smart SET50 Fund (UOBSET50).</w:t>
      </w:r>
      <w:r w:rsidR="002F3EC4" w:rsidRPr="007E7674">
        <w:rPr>
          <w:rFonts w:ascii="Angsana New" w:hAnsi="Angsana New"/>
          <w:color w:val="000000" w:themeColor="text1"/>
          <w:sz w:val="32"/>
          <w:szCs w:val="32"/>
          <w:cs/>
        </w:rPr>
        <w:tab/>
      </w:r>
      <w:r w:rsidR="002F3EC4" w:rsidRPr="00D02260">
        <w:rPr>
          <w:rFonts w:ascii="Angsana New" w:hAnsi="Angsana New"/>
          <w:sz w:val="32"/>
          <w:szCs w:val="32"/>
          <w:cs/>
        </w:rPr>
        <w:tab/>
      </w:r>
      <w:r w:rsidR="002F3EC4" w:rsidRPr="00D02260">
        <w:rPr>
          <w:rFonts w:ascii="Angsana New" w:hAnsi="Angsana New"/>
          <w:sz w:val="32"/>
          <w:szCs w:val="32"/>
          <w:cs/>
        </w:rPr>
        <w:tab/>
      </w:r>
    </w:p>
    <w:p w:rsidR="007B68F7" w:rsidRDefault="007B68F7" w:rsidP="002F3EC4"/>
    <w:sectPr w:rsidR="007B68F7" w:rsidSect="007E7674">
      <w:pgSz w:w="11906" w:h="16838"/>
      <w:pgMar w:top="1418" w:right="1418" w:bottom="1701" w:left="1985" w:header="709" w:footer="964" w:gutter="0"/>
      <w:pgNumType w:fmt="thaiLetters"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358" w:rsidRDefault="00E82358" w:rsidP="002F3EC4">
      <w:r>
        <w:separator/>
      </w:r>
    </w:p>
  </w:endnote>
  <w:endnote w:type="continuationSeparator" w:id="0">
    <w:p w:rsidR="00E82358" w:rsidRDefault="00E82358" w:rsidP="002F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rdiaNew">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EC4" w:rsidRDefault="002F3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950857"/>
      <w:docPartObj>
        <w:docPartGallery w:val="Page Numbers (Bottom of Page)"/>
        <w:docPartUnique/>
      </w:docPartObj>
    </w:sdtPr>
    <w:sdtEndPr/>
    <w:sdtContent>
      <w:p w:rsidR="002F3EC4" w:rsidRDefault="002F3EC4">
        <w:pPr>
          <w:pStyle w:val="Footer"/>
          <w:jc w:val="center"/>
        </w:pPr>
        <w:r w:rsidRPr="002F3EC4">
          <w:rPr>
            <w:rFonts w:ascii="Angsana New" w:hAnsi="Angsana New"/>
            <w:sz w:val="32"/>
            <w:szCs w:val="32"/>
          </w:rPr>
          <w:fldChar w:fldCharType="begin"/>
        </w:r>
        <w:r w:rsidRPr="002F3EC4">
          <w:rPr>
            <w:rFonts w:ascii="Angsana New" w:hAnsi="Angsana New"/>
            <w:sz w:val="32"/>
            <w:szCs w:val="32"/>
          </w:rPr>
          <w:instrText xml:space="preserve"> PAGE   \* MERGEFORMAT </w:instrText>
        </w:r>
        <w:r w:rsidRPr="002F3EC4">
          <w:rPr>
            <w:rFonts w:ascii="Angsana New" w:hAnsi="Angsana New"/>
            <w:sz w:val="32"/>
            <w:szCs w:val="32"/>
          </w:rPr>
          <w:fldChar w:fldCharType="separate"/>
        </w:r>
        <w:r w:rsidR="00F156D8">
          <w:rPr>
            <w:rFonts w:ascii="Angsana New" w:hAnsi="Angsana New"/>
            <w:noProof/>
            <w:sz w:val="32"/>
            <w:szCs w:val="32"/>
            <w:cs/>
          </w:rPr>
          <w:t>ง</w:t>
        </w:r>
        <w:r w:rsidRPr="002F3EC4">
          <w:rPr>
            <w:rFonts w:ascii="Angsana New" w:hAnsi="Angsana New"/>
            <w:noProof/>
            <w:sz w:val="32"/>
            <w:szCs w:val="32"/>
          </w:rPr>
          <w:fldChar w:fldCharType="end"/>
        </w:r>
      </w:p>
    </w:sdtContent>
  </w:sdt>
  <w:p w:rsidR="002F3EC4" w:rsidRDefault="002F3E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EC4" w:rsidRDefault="002F3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358" w:rsidRDefault="00E82358" w:rsidP="002F3EC4">
      <w:r>
        <w:separator/>
      </w:r>
    </w:p>
  </w:footnote>
  <w:footnote w:type="continuationSeparator" w:id="0">
    <w:p w:rsidR="00E82358" w:rsidRDefault="00E82358" w:rsidP="002F3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EC4" w:rsidRDefault="00F156D8">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2016"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EC4" w:rsidRDefault="00F156D8">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2017"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EC4" w:rsidRDefault="00F156D8">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2015"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C4"/>
    <w:rsid w:val="00070BFB"/>
    <w:rsid w:val="00071AE0"/>
    <w:rsid w:val="002314E0"/>
    <w:rsid w:val="002F3EC4"/>
    <w:rsid w:val="007B68F7"/>
    <w:rsid w:val="007E7674"/>
    <w:rsid w:val="00956148"/>
    <w:rsid w:val="00B46DED"/>
    <w:rsid w:val="00E82358"/>
    <w:rsid w:val="00F156D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4C442ED-8A8A-4DD6-A775-9DA969AD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EC4"/>
    <w:pPr>
      <w:spacing w:after="0" w:line="240" w:lineRule="auto"/>
    </w:pPr>
    <w:rPr>
      <w:rFonts w:ascii="Times New Roman" w:eastAsia="MS Mincho" w:hAnsi="Times New Roman" w:cs="Angsana New"/>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2F3EC4"/>
  </w:style>
  <w:style w:type="character" w:customStyle="1" w:styleId="smalltext">
    <w:name w:val="smalltext"/>
    <w:basedOn w:val="DefaultParagraphFont"/>
    <w:rsid w:val="002F3EC4"/>
  </w:style>
  <w:style w:type="paragraph" w:styleId="Header">
    <w:name w:val="header"/>
    <w:basedOn w:val="Normal"/>
    <w:link w:val="HeaderChar"/>
    <w:uiPriority w:val="99"/>
    <w:unhideWhenUsed/>
    <w:rsid w:val="002F3EC4"/>
    <w:pPr>
      <w:tabs>
        <w:tab w:val="center" w:pos="4513"/>
        <w:tab w:val="right" w:pos="9026"/>
      </w:tabs>
    </w:pPr>
  </w:style>
  <w:style w:type="character" w:customStyle="1" w:styleId="HeaderChar">
    <w:name w:val="Header Char"/>
    <w:basedOn w:val="DefaultParagraphFont"/>
    <w:link w:val="Header"/>
    <w:uiPriority w:val="99"/>
    <w:rsid w:val="002F3EC4"/>
    <w:rPr>
      <w:rFonts w:ascii="Times New Roman" w:eastAsia="MS Mincho" w:hAnsi="Times New Roman" w:cs="Angsana New"/>
      <w:sz w:val="24"/>
      <w:lang w:eastAsia="ja-JP"/>
    </w:rPr>
  </w:style>
  <w:style w:type="paragraph" w:styleId="Footer">
    <w:name w:val="footer"/>
    <w:basedOn w:val="Normal"/>
    <w:link w:val="FooterChar"/>
    <w:uiPriority w:val="99"/>
    <w:unhideWhenUsed/>
    <w:rsid w:val="002F3EC4"/>
    <w:pPr>
      <w:tabs>
        <w:tab w:val="center" w:pos="4513"/>
        <w:tab w:val="right" w:pos="9026"/>
      </w:tabs>
    </w:pPr>
  </w:style>
  <w:style w:type="character" w:customStyle="1" w:styleId="FooterChar">
    <w:name w:val="Footer Char"/>
    <w:basedOn w:val="DefaultParagraphFont"/>
    <w:link w:val="Footer"/>
    <w:uiPriority w:val="99"/>
    <w:rsid w:val="002F3EC4"/>
    <w:rPr>
      <w:rFonts w:ascii="Times New Roman" w:eastAsia="MS Mincho" w:hAnsi="Times New Roman" w:cs="Angsana New"/>
      <w:sz w:val="24"/>
      <w:lang w:eastAsia="ja-JP"/>
    </w:rPr>
  </w:style>
  <w:style w:type="paragraph" w:styleId="BalloonText">
    <w:name w:val="Balloon Text"/>
    <w:basedOn w:val="Normal"/>
    <w:link w:val="BalloonTextChar"/>
    <w:uiPriority w:val="99"/>
    <w:semiHidden/>
    <w:unhideWhenUsed/>
    <w:rsid w:val="002314E0"/>
    <w:rPr>
      <w:rFonts w:ascii="Segoe UI" w:hAnsi="Segoe UI"/>
      <w:sz w:val="18"/>
      <w:szCs w:val="22"/>
    </w:rPr>
  </w:style>
  <w:style w:type="character" w:customStyle="1" w:styleId="BalloonTextChar">
    <w:name w:val="Balloon Text Char"/>
    <w:basedOn w:val="DefaultParagraphFont"/>
    <w:link w:val="BalloonText"/>
    <w:uiPriority w:val="99"/>
    <w:semiHidden/>
    <w:rsid w:val="002314E0"/>
    <w:rPr>
      <w:rFonts w:ascii="Segoe UI" w:eastAsia="MS Mincho" w:hAnsi="Segoe UI" w:cs="Angsana New"/>
      <w:sz w:val="1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63780">
      <w:bodyDiv w:val="1"/>
      <w:marLeft w:val="0"/>
      <w:marRight w:val="0"/>
      <w:marTop w:val="0"/>
      <w:marBottom w:val="0"/>
      <w:divBdr>
        <w:top w:val="none" w:sz="0" w:space="0" w:color="auto"/>
        <w:left w:val="none" w:sz="0" w:space="0" w:color="auto"/>
        <w:bottom w:val="none" w:sz="0" w:space="0" w:color="auto"/>
        <w:right w:val="none" w:sz="0" w:space="0" w:color="auto"/>
      </w:divBdr>
    </w:div>
    <w:div w:id="15436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0F32F-8918-484C-AEFE-0B2C54E5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anusara-NB</dc:creator>
  <cp:keywords/>
  <dc:description/>
  <cp:lastModifiedBy>givegift</cp:lastModifiedBy>
  <cp:revision>2</cp:revision>
  <cp:lastPrinted>2015-08-15T10:58:00Z</cp:lastPrinted>
  <dcterms:created xsi:type="dcterms:W3CDTF">2015-08-19T07:46:00Z</dcterms:created>
  <dcterms:modified xsi:type="dcterms:W3CDTF">2015-08-19T07:46:00Z</dcterms:modified>
</cp:coreProperties>
</file>